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BD773A" w:rsidP="00B25E83">
      <w:pPr>
        <w:rPr>
          <w:b/>
          <w:sz w:val="10"/>
          <w:szCs w:val="10"/>
        </w:rPr>
      </w:pPr>
      <w:r>
        <w:rPr>
          <w:b/>
          <w:noProof/>
        </w:rPr>
        <mc:AlternateContent>
          <mc:Choice Requires="wps">
            <w:drawing>
              <wp:anchor distT="0" distB="0" distL="114300" distR="114300" simplePos="0" relativeHeight="251677696" behindDoc="0" locked="0" layoutInCell="0" allowOverlap="1" wp14:anchorId="3EA2C45C" wp14:editId="0553C68E">
                <wp:simplePos x="0" y="0"/>
                <wp:positionH relativeFrom="column">
                  <wp:posOffset>0</wp:posOffset>
                </wp:positionH>
                <wp:positionV relativeFrom="paragraph">
                  <wp:posOffset>31750</wp:posOffset>
                </wp:positionV>
                <wp:extent cx="63150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2C45C" id="_x0000_t202" coordsize="21600,21600" o:spt="202" path="m,l,21600r21600,l21600,xe">
                <v:stroke joinstyle="miter"/>
                <v:path gradientshapeok="t" o:connecttype="rect"/>
              </v:shapetype>
              <v:shape id="Text Box 2" o:spid="_x0000_s1026" type="#_x0000_t202" style="position:absolute;margin-left:0;margin-top:2.5pt;width:497.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BD773A" w:rsidRDefault="00845B4C" w:rsidP="00BF4B36">
                            <w:pPr>
                              <w:spacing w:after="0"/>
                              <w:rPr>
                                <w:b/>
                                <w:sz w:val="40"/>
                                <w:szCs w:val="40"/>
                              </w:rPr>
                            </w:pPr>
                            <w:r>
                              <w:rPr>
                                <w:b/>
                                <w:sz w:val="40"/>
                                <w:szCs w:val="40"/>
                              </w:rPr>
                              <w:t>S-MVTF</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845B4C">
                              <w:rPr>
                                <w:sz w:val="20"/>
                                <w:szCs w:val="20"/>
                              </w:rPr>
                              <w:t>9</w:t>
                            </w:r>
                            <w:r w:rsidRPr="00BF4B36">
                              <w:rPr>
                                <w:sz w:val="20"/>
                                <w:szCs w:val="20"/>
                              </w:rPr>
                              <w:t>/</w:t>
                            </w:r>
                            <w:r w:rsidR="00845B4C">
                              <w:rPr>
                                <w:sz w:val="20"/>
                                <w:szCs w:val="20"/>
                              </w:rPr>
                              <w:t>24</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BD773A" w:rsidRDefault="00845B4C" w:rsidP="00BF4B36">
                      <w:pPr>
                        <w:spacing w:after="0"/>
                        <w:rPr>
                          <w:b/>
                          <w:sz w:val="40"/>
                          <w:szCs w:val="40"/>
                        </w:rPr>
                      </w:pPr>
                      <w:r>
                        <w:rPr>
                          <w:b/>
                          <w:sz w:val="40"/>
                          <w:szCs w:val="40"/>
                        </w:rPr>
                        <w:t>S-MVTF</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845B4C">
                        <w:rPr>
                          <w:sz w:val="20"/>
                          <w:szCs w:val="20"/>
                        </w:rPr>
                        <w:t>9</w:t>
                      </w:r>
                      <w:r w:rsidRPr="00BF4B36">
                        <w:rPr>
                          <w:sz w:val="20"/>
                          <w:szCs w:val="20"/>
                        </w:rPr>
                        <w:t>/</w:t>
                      </w:r>
                      <w:r w:rsidR="00845B4C">
                        <w:rPr>
                          <w:sz w:val="20"/>
                          <w:szCs w:val="20"/>
                        </w:rPr>
                        <w:t>24</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722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sidR="00845B4C">
        <w:rPr>
          <w:b/>
        </w:rPr>
        <w:tab/>
        <w:t>:</w:t>
      </w:r>
      <w:r>
        <w:rPr>
          <w:b/>
        </w:rPr>
        <w:t xml:space="preserve"> </w:t>
      </w:r>
      <w:r w:rsidR="00845B4C">
        <w:rPr>
          <w:b/>
        </w:rPr>
        <w:t>S-MVTF</w:t>
      </w:r>
    </w:p>
    <w:p w:rsidR="00B25E83" w:rsidRPr="00845B4C" w:rsidRDefault="00B25E83" w:rsidP="00B25E83">
      <w:pPr>
        <w:pStyle w:val="ListParagraph"/>
        <w:ind w:left="360"/>
      </w:pPr>
      <w:r>
        <w:rPr>
          <w:b/>
        </w:rPr>
        <w:t xml:space="preserve">Product </w:t>
      </w:r>
      <w:r w:rsidR="00EC25A9">
        <w:rPr>
          <w:b/>
        </w:rPr>
        <w:t xml:space="preserve">Code          </w:t>
      </w:r>
      <w:r w:rsidR="00845B4C">
        <w:rPr>
          <w:b/>
        </w:rPr>
        <w:tab/>
      </w:r>
      <w:r w:rsidR="00845B4C">
        <w:rPr>
          <w:b/>
        </w:rPr>
        <w:tab/>
        <w:t>:</w:t>
      </w:r>
      <w:r w:rsidR="00845B4C">
        <w:t xml:space="preserve">  08500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845B4C" w:rsidRDefault="00B25E83" w:rsidP="00B25E83">
      <w:pPr>
        <w:pStyle w:val="ListParagraph"/>
        <w:ind w:left="360"/>
        <w:jc w:val="both"/>
      </w:pPr>
      <w:r>
        <w:rPr>
          <w:b/>
        </w:rPr>
        <w:t>Product Use</w:t>
      </w:r>
      <w:r>
        <w:rPr>
          <w:b/>
        </w:rPr>
        <w:tab/>
      </w:r>
      <w:r w:rsidR="006862CE">
        <w:rPr>
          <w:b/>
        </w:rPr>
        <w:tab/>
        <w:t>:</w:t>
      </w:r>
      <w:r w:rsidR="006862CE">
        <w:t xml:space="preserve"> </w:t>
      </w:r>
      <w:r w:rsidR="00845B4C">
        <w:t>Multi-Vehicle Transmission Fluid</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F413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F06412">
        <w:rPr>
          <w:b/>
        </w:rPr>
        <w:t xml:space="preserve">  </w:t>
      </w:r>
      <w:bookmarkStart w:id="0" w:name="_GoBack"/>
      <w:bookmarkEnd w:id="0"/>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D773A"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3AC8ADC6" wp14:editId="3FBF65F6">
                <wp:simplePos x="0" y="0"/>
                <wp:positionH relativeFrom="column">
                  <wp:posOffset>61595</wp:posOffset>
                </wp:positionH>
                <wp:positionV relativeFrom="paragraph">
                  <wp:posOffset>95250</wp:posOffset>
                </wp:positionV>
                <wp:extent cx="6181725" cy="346710"/>
                <wp:effectExtent l="19050" t="19050" r="2857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8ADC6" id="Text Box 18" o:spid="_x0000_s1029" type="#_x0000_t202" style="position:absolute;left:0;text-align:left;margin-left:4.85pt;margin-top:7.5pt;width:48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dC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845B4C">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845B4C">
              <w:rPr>
                <w:sz w:val="17"/>
                <w:szCs w:val="17"/>
              </w:rPr>
              <w:t>Red</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845B4C">
            <w:pPr>
              <w:pStyle w:val="ListParagraph"/>
              <w:tabs>
                <w:tab w:val="left" w:pos="360"/>
              </w:tabs>
              <w:ind w:left="0"/>
              <w:rPr>
                <w:sz w:val="17"/>
                <w:szCs w:val="17"/>
              </w:rPr>
            </w:pPr>
            <w:r w:rsidRPr="0098411C">
              <w:rPr>
                <w:sz w:val="17"/>
                <w:szCs w:val="17"/>
              </w:rPr>
              <w:t>Flash Point</w:t>
            </w:r>
            <w:r w:rsidRPr="0098411C">
              <w:rPr>
                <w:sz w:val="17"/>
                <w:szCs w:val="17"/>
              </w:rPr>
              <w:tab/>
              <w:t>: 2</w:t>
            </w:r>
            <w:r w:rsidR="00845B4C">
              <w:rPr>
                <w:sz w:val="17"/>
                <w:szCs w:val="17"/>
              </w:rPr>
              <w:t>2</w:t>
            </w:r>
            <w:r w:rsidRPr="0098411C">
              <w:rPr>
                <w:sz w:val="17"/>
                <w:szCs w:val="17"/>
              </w:rPr>
              <w:t>0°C (4</w:t>
            </w:r>
            <w:r w:rsidR="00845B4C">
              <w:rPr>
                <w:sz w:val="17"/>
                <w:szCs w:val="17"/>
              </w:rPr>
              <w:t>28</w:t>
            </w:r>
            <w:r w:rsidRPr="0098411C">
              <w:rPr>
                <w:sz w:val="17"/>
                <w:szCs w:val="17"/>
              </w:rPr>
              <w:t xml:space="preserve">°F) </w:t>
            </w:r>
          </w:p>
        </w:tc>
        <w:tc>
          <w:tcPr>
            <w:tcW w:w="4864" w:type="dxa"/>
          </w:tcPr>
          <w:p w:rsidR="0098411C" w:rsidRPr="0098411C" w:rsidRDefault="0098411C" w:rsidP="00845B4C">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845B4C">
              <w:rPr>
                <w:sz w:val="17"/>
                <w:szCs w:val="17"/>
              </w:rPr>
              <w:t>7</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D773A"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033398BB" wp14:editId="6D77003E">
                <wp:simplePos x="0" y="0"/>
                <wp:positionH relativeFrom="column">
                  <wp:posOffset>71120</wp:posOffset>
                </wp:positionH>
                <wp:positionV relativeFrom="paragraph">
                  <wp:posOffset>67310</wp:posOffset>
                </wp:positionV>
                <wp:extent cx="626745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98BB" id="Text Box 25" o:spid="_x0000_s1038" type="#_x0000_t202" style="position:absolute;left:0;text-align:left;margin-left:5.6pt;margin-top:5.3pt;width:493.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BD773A">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BD773A">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BD773A">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BD773A">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845B4C">
        <w:t>9</w:t>
      </w:r>
      <w:r w:rsidRPr="00CF3E08">
        <w:t>/</w:t>
      </w:r>
      <w:r w:rsidR="00845B4C">
        <w:t>24</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0641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6412">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845B4C" w:rsidRDefault="00845B4C">
          <w:pPr>
            <w:pStyle w:val="Header"/>
            <w:jc w:val="right"/>
            <w:rPr>
              <w:b/>
            </w:rPr>
          </w:pPr>
          <w:r>
            <w:rPr>
              <w:b/>
            </w:rPr>
            <w:t>S-MVTF</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845B4C">
          <w:pPr>
            <w:pStyle w:val="Header"/>
            <w:jc w:val="right"/>
            <w:rPr>
              <w:b/>
              <w:bCs/>
            </w:rPr>
          </w:pPr>
          <w:r>
            <w:rPr>
              <w:b/>
              <w:bCs/>
            </w:rPr>
            <w:t>Effective Date: 0</w:t>
          </w:r>
          <w:r w:rsidR="00845B4C">
            <w:rPr>
              <w:b/>
              <w:bCs/>
            </w:rPr>
            <w:t>9</w:t>
          </w:r>
          <w:r>
            <w:rPr>
              <w:b/>
              <w:bCs/>
            </w:rPr>
            <w:t>-</w:t>
          </w:r>
          <w:r w:rsidR="00845B4C">
            <w:rPr>
              <w:b/>
              <w:bCs/>
            </w:rPr>
            <w:t>24</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93233"/>
    <w:rsid w:val="0038638C"/>
    <w:rsid w:val="003A4BEE"/>
    <w:rsid w:val="003D2193"/>
    <w:rsid w:val="004A12CD"/>
    <w:rsid w:val="004C0EC6"/>
    <w:rsid w:val="00594C1D"/>
    <w:rsid w:val="00603403"/>
    <w:rsid w:val="006862CE"/>
    <w:rsid w:val="00691FAF"/>
    <w:rsid w:val="006D1389"/>
    <w:rsid w:val="007F6B58"/>
    <w:rsid w:val="00845B4C"/>
    <w:rsid w:val="008762A4"/>
    <w:rsid w:val="0098411C"/>
    <w:rsid w:val="00AD6226"/>
    <w:rsid w:val="00B25E83"/>
    <w:rsid w:val="00BD4ABE"/>
    <w:rsid w:val="00BD773A"/>
    <w:rsid w:val="00BF4B36"/>
    <w:rsid w:val="00C44FAE"/>
    <w:rsid w:val="00C87894"/>
    <w:rsid w:val="00CF3E08"/>
    <w:rsid w:val="00CF4130"/>
    <w:rsid w:val="00CF629B"/>
    <w:rsid w:val="00CF6D9B"/>
    <w:rsid w:val="00EC25A9"/>
    <w:rsid w:val="00F06412"/>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CE738F9-BD42-4932-B33B-0A2DAF45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86C2E-DCA8-4F13-980C-8C41DFDA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Turbine Oil</Company>
  <LinksUpToDate>false</LinksUpToDate>
  <CharactersWithSpaces>30042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4</cp:revision>
  <cp:lastPrinted>2013-07-09T14:56:00Z</cp:lastPrinted>
  <dcterms:created xsi:type="dcterms:W3CDTF">2015-09-24T17:43:00Z</dcterms:created>
  <dcterms:modified xsi:type="dcterms:W3CDTF">2016-06-07T20:01:00Z</dcterms:modified>
</cp:coreProperties>
</file>